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026"/>
      </w:tblGrid>
      <w:tr>
        <w:tc>
          <w:tcPr>
            <w:tcW w:type="dxa" w:w="9026"/>
            <w:shd w:fill="0F2C1F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r>
              <w:drawing>
                <wp:inline distT="0" distB="0" distL="0" distR="0">
                  <wp:extent cx="2857500" cy="485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80"/>
      </w:pPr>
    </w:p>
    <w:p>
      <w:pPr>
        <w:spacing w:after="40" w:before="120"/>
      </w:pPr>
      <w:r>
        <w:rPr>
          <w:rFonts w:ascii="Space Grotesk" w:cs="Space Grotesk" w:eastAsia="Space Grotesk" w:hAnsi="Space Grotesk"/>
          <w:b/>
          <w:bCs/>
          <w:color w:val="159A57"/>
          <w:spacing w:val="60"/>
          <w:sz w:val="16"/>
          <w:szCs w:val="16"/>
        </w:rPr>
        <w:t xml:space="preserve">EGRA · RIGHT TO MANAGE</w:t>
      </w:r>
    </w:p>
    <w:p>
      <w:pPr>
        <w:spacing w:after="60" w:before="260"/>
      </w:pPr>
      <w:r>
        <w:rPr>
          <w:rFonts w:ascii="Space Grotesk" w:cs="Space Grotesk" w:eastAsia="Space Grotesk" w:hAnsi="Space Grotesk"/>
          <w:b/>
          <w:bCs/>
          <w:color w:val="0F2C1F"/>
          <w:sz w:val="36"/>
          <w:szCs w:val="36"/>
        </w:rPr>
        <w:t xml:space="preserve">Document title goes here</w:t>
      </w:r>
    </w:p>
    <w:p>
      <w:pPr>
        <w:pBdr>
          <w:bottom w:val="single" w:color="159A57" w:sz="14" w:space="6"/>
        </w:pBdr>
        <w:spacing w:after="200"/>
      </w:pPr>
      <w:r>
        <w:rPr>
          <w:sz w:val="2"/>
          <w:szCs w:val="2"/>
        </w:rPr>
        <w:t xml:space="preserve"/>
      </w:r>
    </w:p>
    <w:p>
      <w:pPr>
        <w:spacing w:after="200"/>
      </w:pPr>
      <w:r>
        <w:rPr>
          <w:rFonts w:ascii="Inter" w:cs="Inter" w:eastAsia="Inter" w:hAnsi="Inter"/>
          <w:i/>
          <w:iCs/>
          <w:color w:val="53585C"/>
          <w:sz w:val="21"/>
          <w:szCs w:val="21"/>
        </w:rPr>
        <w:t xml:space="preserve">A short standfirst line: who this is for and what it covers. Dated: replace with the real date.</w:t>
      </w:r>
    </w:p>
    <w:p>
      <w:pPr>
        <w:spacing w:after="140" w:line="300"/>
      </w:pPr>
      <w:r>
        <w:rPr>
          <w:rFonts w:ascii="Inter" w:cs="Inter" w:eastAsia="Inter" w:hAnsi="Inter"/>
          <w:color w:val="17191A"/>
          <w:sz w:val="22"/>
          <w:szCs w:val="22"/>
        </w:rPr>
        <w:t xml:space="preserve">Dear neighbour, this is the opening paragraph of a campaign document. Write in plain, full sentences so any leaseholder can follow the argument without a glossary. Keep the tone calm, honest and neighbourly.</w:t>
      </w:r>
    </w:p>
    <w:p>
      <w:pPr>
        <w:spacing w:after="60" w:before="220"/>
      </w:pPr>
      <w:r>
        <w:rPr>
          <w:rFonts w:ascii="Space Grotesk" w:cs="Space Grotesk" w:eastAsia="Space Grotesk" w:hAnsi="Space Grotesk"/>
          <w:b/>
          <w:bCs/>
          <w:color w:val="0E5C38"/>
          <w:sz w:val="26"/>
          <w:szCs w:val="26"/>
        </w:rPr>
        <w:t xml:space="preserve">A heading for the first section</w:t>
      </w:r>
    </w:p>
    <w:p>
      <w:pPr>
        <w:spacing w:after="140" w:line="300"/>
      </w:pPr>
      <w:r>
        <w:rPr>
          <w:rFonts w:ascii="Inter" w:cs="Inter" w:eastAsia="Inter" w:hAnsi="Inter"/>
          <w:color w:val="17191A"/>
          <w:sz w:val="22"/>
          <w:szCs w:val="22"/>
        </w:rPr>
        <w:t xml:space="preserve">Body text sits in Inter (or Calibri where Inter is not installed), in near-black ink on white, with generous line spacing. Use the community green only for links and the green rule under the main title.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Inter" w:cs="Inter" w:eastAsia="Inter" w:hAnsi="Inter"/>
          <w:color w:val="17191A"/>
          <w:sz w:val="22"/>
          <w:szCs w:val="22"/>
        </w:rPr>
        <w:t xml:space="preserve">Green square bullets keep lists tidy and on-brand.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Inter" w:cs="Inter" w:eastAsia="Inter" w:hAnsi="Inter"/>
          <w:color w:val="17191A"/>
          <w:sz w:val="22"/>
          <w:szCs w:val="22"/>
        </w:rPr>
        <w:t xml:space="preserve">Owners of at least half of all flats must register for the claim to proceed.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Inter" w:cs="Inter" w:eastAsia="Inter" w:hAnsi="Inter"/>
          <w:color w:val="17191A"/>
          <w:sz w:val="22"/>
          <w:szCs w:val="22"/>
        </w:rPr>
        <w:t xml:space="preserve">Registering is not a legal commitment and changes nothing about the lease.</w:t>
      </w:r>
    </w:p>
    <w:p>
      <w:pPr>
        <w:spacing w:after="60" w:before="220"/>
      </w:pPr>
      <w:r>
        <w:rPr>
          <w:rFonts w:ascii="Space Grotesk" w:cs="Space Grotesk" w:eastAsia="Space Grotesk" w:hAnsi="Space Grotesk"/>
          <w:b/>
          <w:bCs/>
          <w:color w:val="0E5C38"/>
          <w:sz w:val="26"/>
          <w:szCs w:val="26"/>
        </w:rPr>
        <w:t xml:space="preserve">A second section</w:t>
      </w:r>
    </w:p>
    <w:p>
      <w:pPr>
        <w:spacing w:after="140" w:line="300"/>
      </w:pPr>
      <w:r>
        <w:rPr>
          <w:rFonts w:ascii="Inter" w:cs="Inter" w:eastAsia="Inter" w:hAnsi="Inter"/>
          <w:color w:val="17191A"/>
          <w:sz w:val="22"/>
          <w:szCs w:val="22"/>
        </w:rPr>
        <w:t xml:space="preserve">Where a single idea deserves emphasis, drop it into the pale-green callout below rather than bolding a whole paragraph.</w:t>
      </w:r>
    </w:p>
    <w:tbl>
      <w:tblPr>
        <w:tblW w:type="dxa" w:w="902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026"/>
      </w:tblGrid>
      <w:tr>
        <w:tc>
          <w:tcPr>
            <w:tcW w:type="dxa" w:w="9026"/>
            <w:shd w:fill="E7F4EC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40"/>
            </w:pPr>
            <w:r>
              <w:rPr>
                <w:rFonts w:ascii="Space Grotesk" w:cs="Space Grotesk" w:eastAsia="Space Grotesk" w:hAnsi="Space Grotesk"/>
                <w:b/>
                <w:bCs/>
                <w:color w:val="0E5C38"/>
                <w:spacing w:val="60"/>
                <w:sz w:val="16"/>
                <w:szCs w:val="16"/>
              </w:rPr>
              <w:t xml:space="preserve">IN ONE LINE</w:t>
            </w:r>
          </w:p>
          <w:p>
            <w:r>
              <w:rPr>
                <w:rFonts w:ascii="Space Grotesk" w:cs="Space Grotesk" w:eastAsia="Space Grotesk" w:hAnsi="Space Grotesk"/>
                <w:b/>
                <w:bCs/>
                <w:color w:val="0F2C1F"/>
                <w:sz w:val="26"/>
                <w:szCs w:val="26"/>
              </w:rPr>
              <w:t xml:space="preserve">Right to Manage lets the leaseholders of a building take over its management, together, through a company they own.</w:t>
            </w:r>
          </w:p>
        </w:tc>
      </w:tr>
    </w:tbl>
    <w:p>
      <w:pPr>
        <w:spacing w:before="240"/>
      </w:pPr>
      <w:r>
        <w:rPr>
          <w:rFonts w:ascii="Space Grotesk" w:cs="Space Grotesk" w:eastAsia="Space Grotesk" w:hAnsi="Space Grotesk"/>
          <w:b/>
          <w:bCs/>
          <w:color w:val="8A9096"/>
          <w:sz w:val="22"/>
          <w:szCs w:val="22"/>
        </w:rPr>
        <w:t xml:space="preserve">How to use this template</w:t>
      </w:r>
    </w:p>
    <w:p>
      <w:pPr>
        <w:spacing w:after="40"/>
      </w:pPr>
      <w:r>
        <w:rPr>
          <w:rFonts w:ascii="Inter" w:cs="Inter" w:eastAsia="Inter" w:hAnsi="Inter"/>
          <w:i/>
          <w:iCs/>
          <w:color w:val="8A9096"/>
          <w:sz w:val="19"/>
          <w:szCs w:val="19"/>
        </w:rPr>
        <w:t xml:space="preserve">Keep the deep-green header band with the reversed logo, the green rule under the title, and the heading colours. Replace all placeholder text. Headings use Space Grotesk and body uses Inter; if those fonts are not installed, use Arial Bold for headings and Calibri for body. Margins stay wide.</w:t>
      </w:r>
    </w:p>
    <w:p>
      <w:pPr>
        <w:pBdr>
          <w:top w:val="single" w:color="DCDEDA" w:sz="8" w:space="6"/>
        </w:pBdr>
        <w:spacing w:before="200"/>
      </w:pPr>
      <w:r>
        <w:rPr>
          <w:rFonts w:ascii="Inter" w:cs="Inter" w:eastAsia="Inter" w:hAnsi="Inter"/>
          <w:color w:val="8A9096"/>
          <w:sz w:val="18"/>
          <w:szCs w:val="18"/>
        </w:rPr>
        <w:t xml:space="preserve">Embassy Gardens Residents’ Association (EGRA)  ·  info@egra.org.uk  ·  embassygardens-rtm.com</w:t>
      </w:r>
    </w:p>
    <w:sectPr>
      <w:pgSz w:w="11906" w:h="16838" w:orient="portrait"/>
      <w:pgMar w:top="1000" w:right="1440" w:bottom="10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  <w:rPr>
        <w:color w:val="159A57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a31c04355bd6e30012e1aa6afdd6c4505e60d8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Embassy Gardens RTM Document Template</dc:title>
  <dc:creator>EGRA</dc:creator>
  <cp:lastModifiedBy>Un-named</cp:lastModifiedBy>
  <cp:revision>1</cp:revision>
  <dcterms:created xsi:type="dcterms:W3CDTF">2026-08-22T11:13:55.969Z</dcterms:created>
  <dcterms:modified xsi:type="dcterms:W3CDTF">2026-08-22T11:13:55.969Z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